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《国家奖学金申请审批表（高等学校）》填写说明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1. </w:t>
      </w:r>
      <w:r>
        <w:rPr>
          <w:rFonts w:hint="eastAsia" w:ascii="仿宋_GB2312" w:hAnsi="宋体" w:eastAsia="仿宋_GB2312"/>
          <w:sz w:val="24"/>
        </w:rPr>
        <w:t>表格填写应当字迹清晰、信息完整，</w:t>
      </w:r>
      <w:r>
        <w:rPr>
          <w:rFonts w:hint="eastAsia" w:ascii="仿宋_GB2312" w:eastAsia="仿宋_GB2312"/>
          <w:sz w:val="24"/>
        </w:rPr>
        <w:t>不得涂改数据或出现空白项。</w:t>
      </w:r>
    </w:p>
    <w:p>
      <w:pPr>
        <w:spacing w:line="360" w:lineRule="auto"/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2. 表格中“申请理由</w:t>
      </w:r>
      <w:r>
        <w:rPr>
          <w:rFonts w:hint="eastAsia" w:ascii="仿宋_GB2312" w:eastAsia="仿宋_GB2312"/>
          <w:sz w:val="24"/>
          <w:lang w:val="en-US" w:eastAsia="zh-CN"/>
        </w:rPr>
        <w:t>日期</w:t>
      </w:r>
      <w:r>
        <w:rPr>
          <w:rFonts w:hint="eastAsia" w:ascii="仿宋_GB2312" w:eastAsia="仿宋_GB2312"/>
          <w:sz w:val="24"/>
        </w:rPr>
        <w:t>”</w:t>
      </w:r>
      <w:r>
        <w:rPr>
          <w:rFonts w:hint="eastAsia" w:ascii="仿宋_GB2312" w:eastAsia="仿宋_GB2312"/>
          <w:sz w:val="24"/>
          <w:lang w:val="en-US" w:eastAsia="zh-CN"/>
        </w:rPr>
        <w:t>前内容</w:t>
      </w:r>
      <w:r>
        <w:rPr>
          <w:rFonts w:hint="eastAsia" w:ascii="仿宋_GB2312" w:eastAsia="仿宋_GB2312"/>
          <w:sz w:val="24"/>
        </w:rPr>
        <w:t>由学生本人填写，</w:t>
      </w:r>
      <w:r>
        <w:rPr>
          <w:rFonts w:hint="eastAsia" w:ascii="仿宋_GB2312" w:eastAsia="仿宋_GB2312"/>
          <w:sz w:val="24"/>
          <w:lang w:val="en-US" w:eastAsia="zh-CN"/>
        </w:rPr>
        <w:t>需与扬华素质网“奖助学金评选”版块申请填写内容保持一致。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 表格中成绩排名为学生智育评价成绩排名、综合考评成绩排名为综合素质评价成绩排名。</w:t>
      </w:r>
      <w:r>
        <w:rPr>
          <w:rFonts w:ascii="仿宋_GB2312" w:eastAsia="仿宋_GB2312"/>
          <w:b/>
          <w:color w:val="FF0000"/>
          <w:sz w:val="24"/>
        </w:rPr>
        <w:t>注意</w:t>
      </w:r>
      <w:r>
        <w:rPr>
          <w:rFonts w:hint="eastAsia" w:ascii="仿宋_GB2312" w:eastAsia="仿宋_GB2312"/>
          <w:b/>
          <w:color w:val="FF0000"/>
          <w:sz w:val="24"/>
        </w:rPr>
        <w:t>“是否</w:t>
      </w:r>
      <w:r>
        <w:rPr>
          <w:rFonts w:ascii="仿宋_GB2312" w:eastAsia="仿宋_GB2312"/>
          <w:b/>
          <w:color w:val="FF0000"/>
          <w:sz w:val="24"/>
        </w:rPr>
        <w:t>实行综合</w:t>
      </w:r>
      <w:r>
        <w:rPr>
          <w:rFonts w:hint="eastAsia" w:ascii="仿宋_GB2312" w:eastAsia="仿宋_GB2312"/>
          <w:b/>
          <w:color w:val="FF0000"/>
          <w:sz w:val="24"/>
        </w:rPr>
        <w:t>考评</w:t>
      </w:r>
      <w:r>
        <w:rPr>
          <w:rFonts w:ascii="仿宋_GB2312" w:eastAsia="仿宋_GB2312"/>
          <w:b/>
          <w:color w:val="FF0000"/>
          <w:sz w:val="24"/>
        </w:rPr>
        <w:t>排名</w:t>
      </w:r>
      <w:r>
        <w:rPr>
          <w:rFonts w:hint="eastAsia" w:ascii="仿宋_GB2312" w:eastAsia="仿宋_GB2312"/>
          <w:b/>
          <w:color w:val="FF0000"/>
          <w:sz w:val="24"/>
        </w:rPr>
        <w:t>”我校学生均为“是”；“学习成绩排名”“综合考评排名”学生总数应保持一致</w:t>
      </w:r>
      <w:r>
        <w:rPr>
          <w:rFonts w:hint="eastAsia" w:ascii="仿宋_GB2312" w:eastAsia="仿宋_GB2312"/>
          <w:sz w:val="24"/>
        </w:rPr>
        <w:t>。必修课门数，应计算</w:t>
      </w:r>
      <w:r>
        <w:rPr>
          <w:rFonts w:hint="eastAsia" w:ascii="仿宋_GB2312" w:eastAsia="仿宋_GB2312"/>
          <w:b/>
          <w:color w:val="FF0000"/>
          <w:sz w:val="24"/>
        </w:rPr>
        <w:t>参评当年</w:t>
      </w:r>
      <w:r>
        <w:rPr>
          <w:rFonts w:hint="eastAsia" w:ascii="仿宋_GB2312" w:eastAsia="仿宋_GB2312"/>
          <w:sz w:val="24"/>
        </w:rPr>
        <w:t>所修必修课程门数。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所获奖项名称、日期、颁奖单位应与颁发证书上的名称、日期、单位一致，不可简写、缩写，不可繁琐描述。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表格中“申请理由”栏的填写应当全面详实，</w:t>
      </w:r>
      <w:r>
        <w:rPr>
          <w:rFonts w:hint="eastAsia" w:ascii="仿宋_GB2312" w:hAnsi="宋体" w:eastAsia="仿宋_GB2312"/>
          <w:sz w:val="24"/>
        </w:rPr>
        <w:t>能够如实反映学生学习</w:t>
      </w:r>
      <w:r>
        <w:rPr>
          <w:rFonts w:hint="eastAsia" w:ascii="仿宋_GB2312" w:eastAsia="仿宋_GB2312"/>
          <w:sz w:val="24"/>
        </w:rPr>
        <w:t>成绩优异</w:t>
      </w:r>
      <w:r>
        <w:rPr>
          <w:rFonts w:hint="eastAsia" w:ascii="仿宋_GB2312" w:hAnsi="宋体" w:eastAsia="仿宋_GB2312"/>
          <w:sz w:val="24"/>
        </w:rPr>
        <w:t>、创新能力、社会实践、综合素质等方面特别突出，</w:t>
      </w:r>
      <w:r>
        <w:rPr>
          <w:rFonts w:hint="eastAsia" w:ascii="仿宋_GB2312" w:eastAsia="仿宋_GB2312"/>
          <w:sz w:val="24"/>
        </w:rPr>
        <w:t>做到逻辑清晰、层次分明、格式整齐、语句通顺，无错字、别字，无使用不当的标点符号，无涂改，严谨规范，整洁美观，字数</w:t>
      </w:r>
      <w:r>
        <w:rPr>
          <w:rFonts w:hint="eastAsia" w:ascii="仿宋_GB2312" w:eastAsia="仿宋_GB2312"/>
          <w:b/>
          <w:color w:val="FF0000"/>
          <w:sz w:val="24"/>
        </w:rPr>
        <w:t>200字</w:t>
      </w:r>
      <w:r>
        <w:rPr>
          <w:rFonts w:hint="eastAsia" w:ascii="仿宋_GB2312" w:eastAsia="仿宋_GB2312"/>
          <w:sz w:val="24"/>
        </w:rPr>
        <w:t>左右。申请理由</w:t>
      </w:r>
      <w:r>
        <w:rPr>
          <w:rFonts w:hint="eastAsia" w:ascii="仿宋_GB2312" w:eastAsia="仿宋_GB2312"/>
          <w:b/>
          <w:color w:val="FF0000"/>
          <w:sz w:val="24"/>
        </w:rPr>
        <w:t>思想政治理论学习内容应与时俱进，准确表述</w:t>
      </w:r>
      <w:r>
        <w:rPr>
          <w:rFonts w:hint="eastAsia" w:ascii="仿宋_GB2312" w:eastAsia="仿宋_GB2312"/>
          <w:sz w:val="24"/>
        </w:rPr>
        <w:t>；主要获奖情况中填写的奖项应作为申请理由、推荐理由的佐证，前后一致。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2YyMDBkYmM4MDViZmFkNmI1MWZmZDRhODI0MzYifQ=="/>
  </w:docVars>
  <w:rsids>
    <w:rsidRoot w:val="2A647059"/>
    <w:rsid w:val="2A6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2022-09-20T01:54:00Z</dcterms:created>
  <dc:creator>QYi</dc:creator>
  <cp:lastModifiedBy>QYi</cp:lastModifiedBy>
  <dcterms:modified xsi:type="dcterms:W3CDTF">2022-09-20T02:00:17Z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E7A36E6BF3E74944BA281C41B0EE95A8</vt:lpwstr>
  </property>
</Properties>
</file>